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黑体" w:hAnsi="黑体" w:eastAsia="黑体" w:cs="宋体"/>
          <w:color w:val="000000"/>
          <w:kern w:val="0"/>
          <w:sz w:val="32"/>
          <w:szCs w:val="32"/>
        </w:rPr>
      </w:pPr>
    </w:p>
    <w:p>
      <w:pPr>
        <w:widowControl/>
        <w:spacing w:line="360" w:lineRule="auto"/>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植物保护学院研究生奖学金评定实施细则</w:t>
      </w:r>
    </w:p>
    <w:p>
      <w:pPr>
        <w:widowControl/>
        <w:spacing w:line="360" w:lineRule="auto"/>
        <w:jc w:val="center"/>
        <w:rPr>
          <w:rFonts w:cs="宋体" w:asciiTheme="minorEastAsia" w:hAnsiTheme="minorEastAsia"/>
          <w:color w:val="000000"/>
          <w:kern w:val="0"/>
          <w:sz w:val="24"/>
          <w:szCs w:val="24"/>
        </w:rPr>
      </w:pPr>
    </w:p>
    <w:p>
      <w:pPr>
        <w:widowControl/>
        <w:shd w:val="clear" w:color="auto" w:fill="FFFFFF"/>
        <w:spacing w:line="360" w:lineRule="auto"/>
        <w:ind w:firstLine="480"/>
        <w:jc w:val="left"/>
        <w:rPr>
          <w:rFonts w:cs="宋体" w:asciiTheme="minorEastAsia" w:hAnsiTheme="minorEastAsia"/>
          <w:kern w:val="0"/>
          <w:sz w:val="24"/>
          <w:szCs w:val="24"/>
        </w:rPr>
      </w:pPr>
      <w:r>
        <w:rPr>
          <w:rFonts w:hint="eastAsia" w:cs="宋体" w:asciiTheme="minorEastAsia" w:hAnsiTheme="minorEastAsia"/>
          <w:kern w:val="0"/>
          <w:sz w:val="24"/>
          <w:szCs w:val="24"/>
        </w:rPr>
        <w:t>为了做好我院研究生奖学金评定工作，鼓励研究生勤奋学习，倡导以科研为导向，充分调动研究生从事科学研究的积极性和主动性，进一步激励研究生科技创新，形成良好的竞争机制，根据《西北农林科技大学关于深化研究生教育改革的实施意见</w:t>
      </w:r>
      <w:r>
        <w:rPr>
          <w:rFonts w:cs="Times New Roman" w:asciiTheme="minorEastAsia" w:hAnsiTheme="minorEastAsia"/>
          <w:kern w:val="0"/>
          <w:sz w:val="24"/>
          <w:szCs w:val="24"/>
        </w:rPr>
        <w:t>》（校党发[2014]18号）和《西北农林科技大学研究生国家奖学金评审办法》（校学发[2014]235号）</w:t>
      </w:r>
      <w:r>
        <w:rPr>
          <w:rFonts w:hint="eastAsia" w:cs="Times New Roman" w:asciiTheme="minorEastAsia" w:hAnsiTheme="minorEastAsia"/>
          <w:kern w:val="0"/>
          <w:sz w:val="24"/>
          <w:szCs w:val="24"/>
        </w:rPr>
        <w:t>等文件</w:t>
      </w:r>
      <w:r>
        <w:rPr>
          <w:rFonts w:cs="Times New Roman" w:asciiTheme="minorEastAsia" w:hAnsiTheme="minorEastAsia"/>
          <w:kern w:val="0"/>
          <w:sz w:val="24"/>
          <w:szCs w:val="24"/>
        </w:rPr>
        <w:t>制</w:t>
      </w:r>
      <w:r>
        <w:rPr>
          <w:rFonts w:hint="eastAsia" w:cs="宋体" w:asciiTheme="minorEastAsia" w:hAnsiTheme="minorEastAsia"/>
          <w:kern w:val="0"/>
          <w:sz w:val="24"/>
          <w:szCs w:val="24"/>
        </w:rPr>
        <w:t>定本细则。</w:t>
      </w:r>
    </w:p>
    <w:p>
      <w:pPr>
        <w:widowControl/>
        <w:shd w:val="clear" w:color="auto" w:fill="FFFFFF"/>
        <w:spacing w:line="360" w:lineRule="auto"/>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一、评定对象及名额</w:t>
      </w:r>
    </w:p>
    <w:p>
      <w:pPr>
        <w:widowControl/>
        <w:shd w:val="clear" w:color="auto" w:fill="FFFFFF"/>
        <w:spacing w:line="360" w:lineRule="auto"/>
        <w:ind w:firstLine="485"/>
        <w:rPr>
          <w:rFonts w:cs="宋体" w:asciiTheme="minorEastAsia" w:hAnsiTheme="minorEastAsia"/>
          <w:kern w:val="0"/>
          <w:sz w:val="24"/>
          <w:szCs w:val="24"/>
        </w:rPr>
      </w:pPr>
      <w:r>
        <w:rPr>
          <w:rFonts w:hint="eastAsia" w:cs="宋体" w:asciiTheme="minorEastAsia" w:hAnsiTheme="minorEastAsia"/>
          <w:kern w:val="0"/>
          <w:sz w:val="24"/>
          <w:szCs w:val="24"/>
        </w:rPr>
        <w:t>评定对象为我院全日制非在职研究生，分为学术型研究生、专业学位研究生、新入学硕士研究生、新入学博士研究生四个类型。</w:t>
      </w:r>
    </w:p>
    <w:p>
      <w:pPr>
        <w:widowControl/>
        <w:shd w:val="clear" w:color="auto" w:fill="FFFFFF"/>
        <w:spacing w:line="360" w:lineRule="auto"/>
        <w:ind w:firstLine="485"/>
        <w:rPr>
          <w:rFonts w:cs="宋体" w:asciiTheme="minorEastAsia" w:hAnsiTheme="minorEastAsia"/>
          <w:kern w:val="0"/>
          <w:sz w:val="24"/>
          <w:szCs w:val="24"/>
        </w:rPr>
      </w:pPr>
      <w:r>
        <w:rPr>
          <w:rFonts w:hint="eastAsia" w:cs="宋体" w:asciiTheme="minorEastAsia" w:hAnsiTheme="minorEastAsia"/>
          <w:kern w:val="0"/>
          <w:sz w:val="24"/>
          <w:szCs w:val="24"/>
        </w:rPr>
        <w:t>研究生在基本学制年限（根据学院实际情况，评定奖学金基本年限为学术型硕士研究生3年，专业学位硕士研究生</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年，博士研究生</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年，硕博连读和直博生</w:t>
      </w:r>
      <w:r>
        <w:rPr>
          <w:rFonts w:hint="eastAsia" w:cs="宋体" w:asciiTheme="minorEastAsia" w:hAnsiTheme="minorEastAsia"/>
          <w:kern w:val="0"/>
          <w:sz w:val="24"/>
          <w:szCs w:val="24"/>
          <w:lang w:val="en-US" w:eastAsia="zh-CN"/>
        </w:rPr>
        <w:t>5</w:t>
      </w:r>
      <w:bookmarkStart w:id="0" w:name="_GoBack"/>
      <w:bookmarkEnd w:id="0"/>
      <w:r>
        <w:rPr>
          <w:rFonts w:hint="eastAsia" w:cs="宋体" w:asciiTheme="minorEastAsia" w:hAnsiTheme="minorEastAsia"/>
          <w:kern w:val="0"/>
          <w:sz w:val="24"/>
          <w:szCs w:val="24"/>
        </w:rPr>
        <w:t>年）内，可多次获得研究生奖学金，但在往年奖助学金评定过程中使用过的材料不得重复使用。超出基本学制年限的研究生，不再具备研究生奖学金参评资格。</w:t>
      </w:r>
    </w:p>
    <w:p>
      <w:pPr>
        <w:widowControl/>
        <w:shd w:val="clear" w:color="auto" w:fill="FFFFFF"/>
        <w:spacing w:line="360" w:lineRule="auto"/>
        <w:ind w:firstLine="485"/>
        <w:rPr>
          <w:rFonts w:cs="宋体" w:asciiTheme="minorEastAsia" w:hAnsiTheme="minorEastAsia"/>
          <w:kern w:val="0"/>
          <w:sz w:val="24"/>
          <w:szCs w:val="24"/>
        </w:rPr>
      </w:pPr>
      <w:r>
        <w:rPr>
          <w:rFonts w:hint="eastAsia" w:cs="宋体" w:asciiTheme="minorEastAsia" w:hAnsiTheme="minorEastAsia"/>
          <w:kern w:val="0"/>
          <w:sz w:val="24"/>
          <w:szCs w:val="24"/>
        </w:rPr>
        <w:t>奖学金名额每年由学校按文件规定下拨给学院。学院根据参评学生人数分配给各研究所，由研究所根据评定细则进行评定。</w:t>
      </w:r>
    </w:p>
    <w:p>
      <w:pPr>
        <w:widowControl/>
        <w:spacing w:line="360" w:lineRule="auto"/>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二、考核的组织机构及职责</w:t>
      </w:r>
    </w:p>
    <w:p>
      <w:pPr>
        <w:widowControl/>
        <w:spacing w:line="360" w:lineRule="auto"/>
        <w:ind w:firstLine="418"/>
        <w:jc w:val="left"/>
        <w:rPr>
          <w:rFonts w:cs="宋体" w:asciiTheme="minorEastAsia" w:hAnsiTheme="minorEastAsia"/>
          <w:kern w:val="0"/>
          <w:sz w:val="24"/>
          <w:szCs w:val="24"/>
        </w:rPr>
      </w:pPr>
      <w:r>
        <w:rPr>
          <w:rFonts w:hint="eastAsia" w:cs="宋体" w:asciiTheme="minorEastAsia" w:hAnsiTheme="minorEastAsia"/>
          <w:kern w:val="0"/>
          <w:sz w:val="24"/>
          <w:szCs w:val="24"/>
        </w:rPr>
        <w:t>研究生奖学金评定工作领导小组由学院院长、党委书记、主管副书记、副院长、研究所负责人、办公室主任、研究生工作秘书、研究生辅导员和研究生代表（博、硕士各一名）组成。各研究所成立以研究所所长任组长，研究生导师、研究所秘书和研究生代表为成员的评定工作组。学院研究生奖学金评定工作领导小组负责制定评选细则，各研究所按参评研究生人数划分指标，对各学科专业评定结果进行审核、汇总并将结果上报学院审定。</w:t>
      </w:r>
    </w:p>
    <w:p>
      <w:pPr>
        <w:widowControl/>
        <w:spacing w:line="360" w:lineRule="auto"/>
        <w:ind w:firstLine="418"/>
        <w:jc w:val="left"/>
        <w:rPr>
          <w:rFonts w:cs="宋体" w:asciiTheme="minorEastAsia" w:hAnsiTheme="minorEastAsia"/>
          <w:kern w:val="0"/>
          <w:sz w:val="24"/>
          <w:szCs w:val="24"/>
        </w:rPr>
      </w:pPr>
      <w:r>
        <w:rPr>
          <w:rFonts w:hint="eastAsia" w:cs="宋体" w:asciiTheme="minorEastAsia" w:hAnsiTheme="minorEastAsia"/>
          <w:kern w:val="0"/>
          <w:sz w:val="24"/>
          <w:szCs w:val="24"/>
        </w:rPr>
        <w:t>评定工作以学科专业为单位，评定工作组在学院研究生奖学金评审工作领导小组指导下具体组织、实施研究生奖学金考核评定工作，负责本学科专业评定工作，严格按程序进行，做到公开、公平、公正，并将评定结果报学院研究生奖学金评审工作领导小组。</w:t>
      </w:r>
    </w:p>
    <w:p>
      <w:pPr>
        <w:widowControl/>
        <w:spacing w:line="360" w:lineRule="auto"/>
        <w:ind w:firstLine="418"/>
        <w:jc w:val="left"/>
        <w:rPr>
          <w:rFonts w:cs="宋体" w:asciiTheme="minorEastAsia" w:hAnsiTheme="minorEastAsia"/>
          <w:b/>
          <w:bCs/>
          <w:kern w:val="0"/>
          <w:sz w:val="24"/>
          <w:szCs w:val="24"/>
        </w:rPr>
      </w:pPr>
    </w:p>
    <w:p>
      <w:pPr>
        <w:widowControl/>
        <w:spacing w:line="360" w:lineRule="auto"/>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三、评定工作程序</w:t>
      </w:r>
    </w:p>
    <w:p>
      <w:pPr>
        <w:widowControl/>
        <w:spacing w:line="360" w:lineRule="auto"/>
        <w:ind w:firstLine="418"/>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1．个人申请。研究生个人填写各类奖学金评定申请表，由导师填写德育评价分数；由研究生管理办公室审核个人荣誉材料并签名确认；根据课程考试成绩计算申请人课程成绩加权分并签名；由各研究所审核论文（含收录证明）、科研成果、获奖证书等原件；经过审核的申请表连同相关证明材料在规定时间内一并交给所在研究所秘书，开始评定。</w:t>
      </w:r>
    </w:p>
    <w:p>
      <w:pPr>
        <w:widowControl/>
        <w:spacing w:line="360" w:lineRule="auto"/>
        <w:ind w:firstLine="418"/>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2. 研究所评定工作组评审。各研究所评定工作组收齐材料后按照学院分配的名额，依据本办法自行组织进行评选；并对参评学生进行综合排名，根据综合排名确定其是否享受奖学金，将评定结果和候选人材料报送研究生管理办公室汇总。</w:t>
      </w:r>
    </w:p>
    <w:p>
      <w:pPr>
        <w:widowControl/>
        <w:spacing w:line="360" w:lineRule="auto"/>
        <w:ind w:firstLine="418"/>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3. 学院评审领导小组审核。研究生管理办公室汇总各研究所评选出的候选人，组织学院研究生奖学金评定工作领导小组进行审核，评定结果在学院网站上公示3天，在公示期内受理任何人实名制对评定结果的申诉。负责对申诉的调查提出处理意见并反馈给申诉人。</w:t>
      </w:r>
    </w:p>
    <w:p>
      <w:pPr>
        <w:widowControl/>
        <w:spacing w:line="360" w:lineRule="auto"/>
        <w:ind w:firstLine="418"/>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4.公示期满无异议后，上报。</w:t>
      </w:r>
    </w:p>
    <w:p>
      <w:pPr>
        <w:widowControl/>
        <w:spacing w:line="360" w:lineRule="auto"/>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四、申请奖学金须具备下列基本条件</w:t>
      </w:r>
    </w:p>
    <w:p>
      <w:pPr>
        <w:widowControl/>
        <w:spacing w:line="360" w:lineRule="auto"/>
        <w:ind w:left="420"/>
        <w:jc w:val="left"/>
        <w:rPr>
          <w:rFonts w:cs="宋体" w:asciiTheme="minorEastAsia" w:hAnsiTheme="minorEastAsia"/>
          <w:kern w:val="0"/>
          <w:sz w:val="24"/>
          <w:szCs w:val="24"/>
        </w:rPr>
      </w:pPr>
      <w:r>
        <w:rPr>
          <w:rFonts w:hint="eastAsia" w:cs="宋体" w:asciiTheme="minorEastAsia" w:hAnsiTheme="minorEastAsia"/>
          <w:kern w:val="0"/>
          <w:sz w:val="24"/>
          <w:szCs w:val="24"/>
        </w:rPr>
        <w:t>（一）遵守国家法律和学校规章制度。</w:t>
      </w:r>
    </w:p>
    <w:p>
      <w:pPr>
        <w:widowControl/>
        <w:spacing w:line="360" w:lineRule="auto"/>
        <w:ind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（二）具有良好的学风，热爱集体，尊师爱校，团结同学，积极参加校院各项集体公益活动。</w:t>
      </w:r>
    </w:p>
    <w:p>
      <w:pPr>
        <w:widowControl/>
        <w:spacing w:line="360" w:lineRule="auto"/>
        <w:ind w:left="420"/>
        <w:jc w:val="left"/>
        <w:rPr>
          <w:rFonts w:cs="宋体" w:asciiTheme="minorEastAsia" w:hAnsiTheme="minorEastAsia"/>
          <w:kern w:val="0"/>
          <w:sz w:val="24"/>
          <w:szCs w:val="24"/>
        </w:rPr>
      </w:pPr>
      <w:r>
        <w:rPr>
          <w:rFonts w:hint="eastAsia" w:cs="宋体" w:asciiTheme="minorEastAsia" w:hAnsiTheme="minorEastAsia"/>
          <w:kern w:val="0"/>
          <w:sz w:val="24"/>
          <w:szCs w:val="24"/>
        </w:rPr>
        <w:t>（三）本人申请且导师同意参评。</w:t>
      </w:r>
    </w:p>
    <w:p>
      <w:pPr>
        <w:widowControl/>
        <w:spacing w:line="360" w:lineRule="auto"/>
        <w:ind w:left="420"/>
        <w:jc w:val="left"/>
        <w:rPr>
          <w:rFonts w:cs="宋体" w:asciiTheme="minorEastAsia" w:hAnsiTheme="minorEastAsia"/>
          <w:kern w:val="0"/>
          <w:sz w:val="24"/>
          <w:szCs w:val="24"/>
        </w:rPr>
      </w:pPr>
      <w:r>
        <w:rPr>
          <w:rFonts w:hint="eastAsia" w:cs="宋体" w:asciiTheme="minorEastAsia" w:hAnsiTheme="minorEastAsia"/>
          <w:kern w:val="0"/>
          <w:sz w:val="24"/>
          <w:szCs w:val="24"/>
        </w:rPr>
        <w:t>（四）英语通过国家六级考试。</w:t>
      </w:r>
    </w:p>
    <w:p>
      <w:pPr>
        <w:widowControl/>
        <w:spacing w:line="360" w:lineRule="auto"/>
        <w:ind w:left="420"/>
        <w:jc w:val="left"/>
        <w:rPr>
          <w:rFonts w:cs="宋体" w:asciiTheme="minorEastAsia" w:hAnsiTheme="minorEastAsia"/>
          <w:kern w:val="0"/>
          <w:sz w:val="24"/>
          <w:szCs w:val="24"/>
        </w:rPr>
      </w:pPr>
      <w:r>
        <w:rPr>
          <w:rFonts w:hint="eastAsia" w:cs="宋体" w:asciiTheme="minorEastAsia" w:hAnsiTheme="minorEastAsia"/>
          <w:kern w:val="0"/>
          <w:sz w:val="24"/>
          <w:szCs w:val="24"/>
        </w:rPr>
        <w:t>（五）上学年度和评定过程中有下列情形之一者，取消参评资格。</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1. 违法或违反校纪校规受到警告及以上处分的。</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2. 在申请奖学金过程中弄虚作假的。</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3. 课程考试不及格的。</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4. 未请假擅自离校一周及以上者或经常不去上课、做实验的。</w:t>
      </w:r>
    </w:p>
    <w:p>
      <w:pPr>
        <w:widowControl/>
        <w:spacing w:line="360" w:lineRule="auto"/>
        <w:jc w:val="left"/>
        <w:rPr>
          <w:rFonts w:cs="宋体" w:asciiTheme="minorEastAsia" w:hAnsiTheme="minorEastAsia"/>
          <w:kern w:val="0"/>
          <w:sz w:val="24"/>
          <w:szCs w:val="24"/>
        </w:rPr>
      </w:pPr>
    </w:p>
    <w:p>
      <w:pPr>
        <w:widowControl/>
        <w:spacing w:line="360" w:lineRule="auto"/>
        <w:jc w:val="left"/>
        <w:rPr>
          <w:rFonts w:cs="宋体" w:asciiTheme="minorEastAsia" w:hAnsiTheme="minorEastAsia"/>
          <w:kern w:val="0"/>
          <w:sz w:val="24"/>
          <w:szCs w:val="24"/>
        </w:rPr>
      </w:pPr>
    </w:p>
    <w:p>
      <w:pPr>
        <w:widowControl/>
        <w:spacing w:line="360" w:lineRule="auto"/>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五、各类型评定指标体系和评分参照标准</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（一）德育成绩（10分）</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1. 导师评分：研究生德育成绩由导师根据学生个人品质修养、参与集体活动和遵守校纪校规等方面，进行公正打分，满分6分。</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2. 获得荣誉加分：获得校级以上（含校级）优秀研究生、优秀研究生干部荣誉者，每项加2分；满分4分。此项由研究生管理办公室审核。</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（二）学业成绩（40分）：</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学业成绩=整体加权平均分×40%。</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（三）科研业绩（不封顶）：</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1.发表论文</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发表论文博士生必须满足学生本人是第一作者、西北农林科技大学为第一完成单位。硕士生必须满足学生本人是前四位作者、西北农林科技大学为第一完成单位。论文类型为Article和Review。必须提供论文原件或网上在线（Online）全文打印件，检索证明或影响因子证明。</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2. 科研成果获奖</w:t>
      </w:r>
    </w:p>
    <w:p>
      <w:pPr>
        <w:widowControl/>
        <w:spacing w:line="360" w:lineRule="auto"/>
        <w:ind w:firstLine="360"/>
        <w:jc w:val="left"/>
        <w:rPr>
          <w:rFonts w:cs="宋体" w:asciiTheme="minorEastAsia" w:hAnsiTheme="minorEastAsia"/>
          <w:kern w:val="0"/>
          <w:sz w:val="24"/>
          <w:szCs w:val="24"/>
        </w:rPr>
      </w:pPr>
    </w:p>
    <w:tbl>
      <w:tblPr>
        <w:tblStyle w:val="6"/>
        <w:tblW w:w="8232" w:type="dxa"/>
        <w:tblInd w:w="74" w:type="dxa"/>
        <w:tblLayout w:type="fixed"/>
        <w:tblCellMar>
          <w:top w:w="0" w:type="dxa"/>
          <w:left w:w="0" w:type="dxa"/>
          <w:bottom w:w="0" w:type="dxa"/>
          <w:right w:w="0" w:type="dxa"/>
        </w:tblCellMar>
      </w:tblPr>
      <w:tblGrid>
        <w:gridCol w:w="4972"/>
        <w:gridCol w:w="3260"/>
      </w:tblGrid>
      <w:tr>
        <w:tblPrEx>
          <w:tblLayout w:type="fixed"/>
          <w:tblCellMar>
            <w:top w:w="0" w:type="dxa"/>
            <w:left w:w="0" w:type="dxa"/>
            <w:bottom w:w="0" w:type="dxa"/>
            <w:right w:w="0" w:type="dxa"/>
          </w:tblCellMar>
        </w:tblPrEx>
        <w:trPr>
          <w:trHeight w:val="487" w:hRule="atLeast"/>
        </w:trPr>
        <w:tc>
          <w:tcPr>
            <w:tcW w:w="4972" w:type="dxa"/>
            <w:tcBorders>
              <w:top w:val="single" w:color="000000" w:sz="4" w:space="0"/>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发表刊物及专利</w:t>
            </w:r>
          </w:p>
        </w:tc>
        <w:tc>
          <w:tcPr>
            <w:tcW w:w="3260"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加分</w:t>
            </w:r>
          </w:p>
        </w:tc>
      </w:tr>
      <w:tr>
        <w:tblPrEx>
          <w:tblLayout w:type="fixed"/>
          <w:tblCellMar>
            <w:top w:w="0" w:type="dxa"/>
            <w:left w:w="0" w:type="dxa"/>
            <w:bottom w:w="0" w:type="dxa"/>
            <w:right w:w="0" w:type="dxa"/>
          </w:tblCellMar>
        </w:tblPrEx>
        <w:trPr>
          <w:trHeight w:val="454" w:hRule="atLeast"/>
        </w:trPr>
        <w:tc>
          <w:tcPr>
            <w:tcW w:w="4972" w:type="dxa"/>
            <w:tcBorders>
              <w:top w:val="single" w:color="000000" w:sz="4" w:space="0"/>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SCI论文（EI=10）</w:t>
            </w:r>
          </w:p>
        </w:tc>
        <w:tc>
          <w:tcPr>
            <w:tcW w:w="3260"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left"/>
              <w:rPr>
                <w:rFonts w:cs="Times New Roman" w:asciiTheme="minorEastAsia" w:hAnsiTheme="minorEastAsia"/>
                <w:kern w:val="0"/>
                <w:sz w:val="24"/>
                <w:szCs w:val="24"/>
              </w:rPr>
            </w:pPr>
            <w:r>
              <w:rPr>
                <w:rFonts w:cs="Times New Roman" w:asciiTheme="minorEastAsia" w:hAnsiTheme="minorEastAsia"/>
                <w:kern w:val="0"/>
                <w:sz w:val="24"/>
                <w:szCs w:val="24"/>
              </w:rPr>
              <w:t>10+10* IF * X（X为</w:t>
            </w:r>
            <w:r>
              <w:rPr>
                <w:rFonts w:hint="eastAsia" w:cs="Times New Roman" w:asciiTheme="minorEastAsia" w:hAnsiTheme="minorEastAsia"/>
                <w:kern w:val="0"/>
                <w:sz w:val="24"/>
                <w:szCs w:val="24"/>
              </w:rPr>
              <w:t>J</w:t>
            </w:r>
            <w:r>
              <w:rPr>
                <w:rFonts w:cs="Times New Roman" w:asciiTheme="minorEastAsia" w:hAnsiTheme="minorEastAsia"/>
                <w:kern w:val="0"/>
                <w:sz w:val="24"/>
                <w:szCs w:val="24"/>
              </w:rPr>
              <w:t>CR分区系数：一区X=2</w:t>
            </w:r>
            <w:r>
              <w:rPr>
                <w:rFonts w:hint="eastAsia" w:cs="Times New Roman" w:asciiTheme="minorEastAsia" w:hAnsiTheme="minorEastAsia"/>
                <w:kern w:val="0"/>
                <w:sz w:val="24"/>
                <w:szCs w:val="24"/>
              </w:rPr>
              <w:t>.5</w:t>
            </w:r>
            <w:r>
              <w:rPr>
                <w:rFonts w:cs="Times New Roman" w:asciiTheme="minorEastAsia" w:hAnsiTheme="minorEastAsia"/>
                <w:kern w:val="0"/>
                <w:sz w:val="24"/>
                <w:szCs w:val="24"/>
              </w:rPr>
              <w:t>， 二区X=1.7，三区X=1.3，四区=1）</w:t>
            </w:r>
            <w:r>
              <w:rPr>
                <w:rFonts w:hint="eastAsia" w:cs="Times New Roman" w:asciiTheme="minorEastAsia" w:hAnsiTheme="minorEastAsia"/>
                <w:kern w:val="0"/>
                <w:sz w:val="24"/>
                <w:szCs w:val="24"/>
              </w:rPr>
              <w:t>。单篇影响因子10以上的直接入选。</w:t>
            </w:r>
          </w:p>
        </w:tc>
      </w:tr>
      <w:tr>
        <w:tblPrEx>
          <w:tblLayout w:type="fixed"/>
          <w:tblCellMar>
            <w:top w:w="0" w:type="dxa"/>
            <w:left w:w="0" w:type="dxa"/>
            <w:bottom w:w="0" w:type="dxa"/>
            <w:right w:w="0" w:type="dxa"/>
          </w:tblCellMar>
        </w:tblPrEx>
        <w:tc>
          <w:tcPr>
            <w:tcW w:w="4972" w:type="dxa"/>
            <w:tcBorders>
              <w:top w:val="single" w:color="000000" w:sz="4" w:space="0"/>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国内A类学术期刊</w:t>
            </w:r>
          </w:p>
        </w:tc>
        <w:tc>
          <w:tcPr>
            <w:tcW w:w="3260"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10</w:t>
            </w:r>
          </w:p>
        </w:tc>
      </w:tr>
      <w:tr>
        <w:tblPrEx>
          <w:tblLayout w:type="fixed"/>
          <w:tblCellMar>
            <w:top w:w="0" w:type="dxa"/>
            <w:left w:w="0" w:type="dxa"/>
            <w:bottom w:w="0" w:type="dxa"/>
            <w:right w:w="0" w:type="dxa"/>
          </w:tblCellMar>
        </w:tblPrEx>
        <w:tc>
          <w:tcPr>
            <w:tcW w:w="4972" w:type="dxa"/>
            <w:tcBorders>
              <w:top w:val="single" w:color="000000" w:sz="4" w:space="0"/>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国内B类学术期刊</w:t>
            </w:r>
          </w:p>
        </w:tc>
        <w:tc>
          <w:tcPr>
            <w:tcW w:w="3260"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7</w:t>
            </w:r>
          </w:p>
        </w:tc>
      </w:tr>
      <w:tr>
        <w:tblPrEx>
          <w:tblLayout w:type="fixed"/>
          <w:tblCellMar>
            <w:top w:w="0" w:type="dxa"/>
            <w:left w:w="0" w:type="dxa"/>
            <w:bottom w:w="0" w:type="dxa"/>
            <w:right w:w="0" w:type="dxa"/>
          </w:tblCellMar>
        </w:tblPrEx>
        <w:tc>
          <w:tcPr>
            <w:tcW w:w="4972" w:type="dxa"/>
            <w:tcBorders>
              <w:top w:val="single" w:color="000000" w:sz="4" w:space="0"/>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国内核心期刊</w:t>
            </w:r>
          </w:p>
        </w:tc>
        <w:tc>
          <w:tcPr>
            <w:tcW w:w="3260"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r>
      <w:tr>
        <w:tblPrEx>
          <w:tblLayout w:type="fixed"/>
          <w:tblCellMar>
            <w:top w:w="0" w:type="dxa"/>
            <w:left w:w="0" w:type="dxa"/>
            <w:bottom w:w="0" w:type="dxa"/>
            <w:right w:w="0" w:type="dxa"/>
          </w:tblCellMar>
        </w:tblPrEx>
        <w:tc>
          <w:tcPr>
            <w:tcW w:w="4972" w:type="dxa"/>
            <w:tcBorders>
              <w:top w:val="single" w:color="000000" w:sz="4" w:space="0"/>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获批发明专利</w:t>
            </w:r>
          </w:p>
        </w:tc>
        <w:tc>
          <w:tcPr>
            <w:tcW w:w="3260"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10</w:t>
            </w:r>
          </w:p>
        </w:tc>
      </w:tr>
    </w:tbl>
    <w:p>
      <w:pPr>
        <w:widowControl/>
        <w:spacing w:line="360" w:lineRule="auto"/>
        <w:ind w:firstLine="420"/>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spacing w:line="360" w:lineRule="auto"/>
        <w:ind w:firstLine="420"/>
        <w:jc w:val="left"/>
        <w:rPr>
          <w:rFonts w:cs="宋体" w:asciiTheme="minorEastAsia" w:hAnsiTheme="minorEastAsia"/>
          <w:kern w:val="0"/>
          <w:sz w:val="24"/>
          <w:szCs w:val="24"/>
        </w:rPr>
      </w:pPr>
    </w:p>
    <w:tbl>
      <w:tblPr>
        <w:tblStyle w:val="6"/>
        <w:tblW w:w="8222" w:type="dxa"/>
        <w:tblInd w:w="135" w:type="dxa"/>
        <w:tblLayout w:type="fixed"/>
        <w:tblCellMar>
          <w:top w:w="0" w:type="dxa"/>
          <w:left w:w="108" w:type="dxa"/>
          <w:bottom w:w="0" w:type="dxa"/>
          <w:right w:w="108" w:type="dxa"/>
        </w:tblCellMar>
      </w:tblPr>
      <w:tblGrid>
        <w:gridCol w:w="1578"/>
        <w:gridCol w:w="1489"/>
        <w:gridCol w:w="1478"/>
        <w:gridCol w:w="1624"/>
        <w:gridCol w:w="2053"/>
      </w:tblGrid>
      <w:tr>
        <w:tblPrEx>
          <w:tblLayout w:type="fixed"/>
          <w:tblCellMar>
            <w:top w:w="0" w:type="dxa"/>
            <w:left w:w="108" w:type="dxa"/>
            <w:bottom w:w="0" w:type="dxa"/>
            <w:right w:w="108" w:type="dxa"/>
          </w:tblCellMar>
        </w:tblPrEx>
        <w:trPr>
          <w:trHeight w:val="444" w:hRule="atLeast"/>
        </w:trPr>
        <w:tc>
          <w:tcPr>
            <w:tcW w:w="1578" w:type="dxa"/>
            <w:tcBorders>
              <w:top w:val="single" w:color="000000" w:sz="4" w:space="0"/>
              <w:left w:val="single" w:color="000000" w:sz="4" w:space="0"/>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p>
        </w:tc>
        <w:tc>
          <w:tcPr>
            <w:tcW w:w="1489"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一个作者</w:t>
            </w:r>
          </w:p>
        </w:tc>
        <w:tc>
          <w:tcPr>
            <w:tcW w:w="1478"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二个作者</w:t>
            </w:r>
          </w:p>
        </w:tc>
        <w:tc>
          <w:tcPr>
            <w:tcW w:w="1624"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三个作者</w:t>
            </w:r>
          </w:p>
        </w:tc>
        <w:tc>
          <w:tcPr>
            <w:tcW w:w="2053"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四个作者</w:t>
            </w:r>
          </w:p>
        </w:tc>
      </w:tr>
      <w:tr>
        <w:tblPrEx>
          <w:tblLayout w:type="fixed"/>
          <w:tblCellMar>
            <w:top w:w="0" w:type="dxa"/>
            <w:left w:w="108" w:type="dxa"/>
            <w:bottom w:w="0" w:type="dxa"/>
            <w:right w:w="108" w:type="dxa"/>
          </w:tblCellMar>
        </w:tblPrEx>
        <w:trPr>
          <w:trHeight w:val="444" w:hRule="atLeast"/>
        </w:trPr>
        <w:tc>
          <w:tcPr>
            <w:tcW w:w="1578" w:type="dxa"/>
            <w:tcBorders>
              <w:top w:val="single" w:color="000000" w:sz="4" w:space="0"/>
              <w:left w:val="single" w:color="000000" w:sz="4" w:space="0"/>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第一作者</w:t>
            </w:r>
          </w:p>
        </w:tc>
        <w:tc>
          <w:tcPr>
            <w:tcW w:w="1489"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1478"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0.75</w:t>
            </w:r>
          </w:p>
        </w:tc>
        <w:tc>
          <w:tcPr>
            <w:tcW w:w="1624"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0.70</w:t>
            </w:r>
          </w:p>
        </w:tc>
        <w:tc>
          <w:tcPr>
            <w:tcW w:w="2053"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0.65</w:t>
            </w:r>
          </w:p>
        </w:tc>
      </w:tr>
      <w:tr>
        <w:tblPrEx>
          <w:tblLayout w:type="fixed"/>
          <w:tblCellMar>
            <w:top w:w="0" w:type="dxa"/>
            <w:left w:w="108" w:type="dxa"/>
            <w:bottom w:w="0" w:type="dxa"/>
            <w:right w:w="108" w:type="dxa"/>
          </w:tblCellMar>
        </w:tblPrEx>
        <w:trPr>
          <w:trHeight w:val="444" w:hRule="atLeast"/>
        </w:trPr>
        <w:tc>
          <w:tcPr>
            <w:tcW w:w="1578" w:type="dxa"/>
            <w:tcBorders>
              <w:top w:val="single" w:color="000000" w:sz="4" w:space="0"/>
              <w:left w:val="single" w:color="000000" w:sz="4" w:space="0"/>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第二作者</w:t>
            </w:r>
          </w:p>
        </w:tc>
        <w:tc>
          <w:tcPr>
            <w:tcW w:w="1489"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tc>
        <w:tc>
          <w:tcPr>
            <w:tcW w:w="1478"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0.25</w:t>
            </w:r>
          </w:p>
        </w:tc>
        <w:tc>
          <w:tcPr>
            <w:tcW w:w="1624"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0.20</w:t>
            </w:r>
          </w:p>
        </w:tc>
        <w:tc>
          <w:tcPr>
            <w:tcW w:w="2053"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0.15</w:t>
            </w:r>
          </w:p>
        </w:tc>
      </w:tr>
      <w:tr>
        <w:tblPrEx>
          <w:tblLayout w:type="fixed"/>
          <w:tblCellMar>
            <w:top w:w="0" w:type="dxa"/>
            <w:left w:w="108" w:type="dxa"/>
            <w:bottom w:w="0" w:type="dxa"/>
            <w:right w:w="108" w:type="dxa"/>
          </w:tblCellMar>
        </w:tblPrEx>
        <w:trPr>
          <w:trHeight w:val="444" w:hRule="atLeast"/>
        </w:trPr>
        <w:tc>
          <w:tcPr>
            <w:tcW w:w="1578" w:type="dxa"/>
            <w:tcBorders>
              <w:top w:val="single" w:color="000000" w:sz="4" w:space="0"/>
              <w:left w:val="single" w:color="000000" w:sz="4" w:space="0"/>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第三作者</w:t>
            </w:r>
          </w:p>
        </w:tc>
        <w:tc>
          <w:tcPr>
            <w:tcW w:w="1489"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tc>
        <w:tc>
          <w:tcPr>
            <w:tcW w:w="1478"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tc>
        <w:tc>
          <w:tcPr>
            <w:tcW w:w="1624"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0.10</w:t>
            </w:r>
          </w:p>
        </w:tc>
        <w:tc>
          <w:tcPr>
            <w:tcW w:w="2053"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0.10</w:t>
            </w:r>
          </w:p>
        </w:tc>
      </w:tr>
      <w:tr>
        <w:tblPrEx>
          <w:tblLayout w:type="fixed"/>
          <w:tblCellMar>
            <w:top w:w="0" w:type="dxa"/>
            <w:left w:w="108" w:type="dxa"/>
            <w:bottom w:w="0" w:type="dxa"/>
            <w:right w:w="108" w:type="dxa"/>
          </w:tblCellMar>
        </w:tblPrEx>
        <w:trPr>
          <w:trHeight w:val="444" w:hRule="atLeast"/>
        </w:trPr>
        <w:tc>
          <w:tcPr>
            <w:tcW w:w="1578" w:type="dxa"/>
            <w:tcBorders>
              <w:top w:val="single" w:color="000000" w:sz="4" w:space="0"/>
              <w:left w:val="single" w:color="000000" w:sz="4" w:space="0"/>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第四作者</w:t>
            </w:r>
          </w:p>
        </w:tc>
        <w:tc>
          <w:tcPr>
            <w:tcW w:w="1489"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tc>
        <w:tc>
          <w:tcPr>
            <w:tcW w:w="1478"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tc>
        <w:tc>
          <w:tcPr>
            <w:tcW w:w="1624"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tc>
        <w:tc>
          <w:tcPr>
            <w:tcW w:w="2053" w:type="dxa"/>
            <w:tcBorders>
              <w:top w:val="single" w:color="000000" w:sz="4" w:space="0"/>
              <w:left w:val="nil"/>
              <w:bottom w:val="single" w:color="000000" w:sz="4" w:space="0"/>
              <w:right w:val="single" w:color="000000" w:sz="4" w:space="0"/>
            </w:tcBorders>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0.10</w:t>
            </w:r>
          </w:p>
        </w:tc>
      </w:tr>
    </w:tbl>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注：学生在导师后的占名次分。导师为通讯作者的不计入作者总数；并列第一作者或同等贡献作者，按系数加权后获得平均份额。</w:t>
      </w:r>
    </w:p>
    <w:p>
      <w:pPr>
        <w:widowControl/>
        <w:spacing w:line="360" w:lineRule="auto"/>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w:t>
      </w:r>
    </w:p>
    <w:p>
      <w:pPr>
        <w:widowControl/>
        <w:spacing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大学生科技创新奖加分表</w:t>
      </w:r>
    </w:p>
    <w:tbl>
      <w:tblPr>
        <w:tblStyle w:val="6"/>
        <w:tblW w:w="8565" w:type="dxa"/>
        <w:jc w:val="center"/>
        <w:tblInd w:w="0" w:type="dxa"/>
        <w:tblLayout w:type="fixed"/>
        <w:tblCellMar>
          <w:top w:w="0" w:type="dxa"/>
          <w:left w:w="0" w:type="dxa"/>
          <w:bottom w:w="0" w:type="dxa"/>
          <w:right w:w="0" w:type="dxa"/>
        </w:tblCellMar>
      </w:tblPr>
      <w:tblGrid>
        <w:gridCol w:w="1003"/>
        <w:gridCol w:w="1483"/>
        <w:gridCol w:w="6079"/>
      </w:tblGrid>
      <w:tr>
        <w:tblPrEx>
          <w:tblLayout w:type="fixed"/>
          <w:tblCellMar>
            <w:top w:w="0" w:type="dxa"/>
            <w:left w:w="0" w:type="dxa"/>
            <w:bottom w:w="0" w:type="dxa"/>
            <w:right w:w="0" w:type="dxa"/>
          </w:tblCellMar>
        </w:tblPrEx>
        <w:trPr>
          <w:jc w:val="center"/>
        </w:trPr>
        <w:tc>
          <w:tcPr>
            <w:tcW w:w="248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奖励级别</w:t>
            </w:r>
          </w:p>
        </w:tc>
        <w:tc>
          <w:tcPr>
            <w:tcW w:w="6079"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加 分</w:t>
            </w:r>
          </w:p>
        </w:tc>
      </w:tr>
      <w:tr>
        <w:tblPrEx>
          <w:tblLayout w:type="fixed"/>
        </w:tblPrEx>
        <w:trPr>
          <w:jc w:val="center"/>
        </w:trPr>
        <w:tc>
          <w:tcPr>
            <w:tcW w:w="1003" w:type="dxa"/>
            <w:vMerge w:val="restart"/>
            <w:tcBorders>
              <w:top w:val="nil"/>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国家级</w:t>
            </w:r>
          </w:p>
        </w:tc>
        <w:tc>
          <w:tcPr>
            <w:tcW w:w="1483"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一等奖</w:t>
            </w:r>
          </w:p>
        </w:tc>
        <w:tc>
          <w:tcPr>
            <w:tcW w:w="6079"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前十名依次加20、18、16、14、12、10、8、6、4、2分</w:t>
            </w:r>
          </w:p>
        </w:tc>
      </w:tr>
      <w:tr>
        <w:tblPrEx>
          <w:tblLayout w:type="fixed"/>
          <w:tblCellMar>
            <w:top w:w="0" w:type="dxa"/>
            <w:left w:w="0" w:type="dxa"/>
            <w:bottom w:w="0" w:type="dxa"/>
            <w:right w:w="0" w:type="dxa"/>
          </w:tblCellMar>
        </w:tblPrEx>
        <w:trPr>
          <w:jc w:val="center"/>
        </w:trPr>
        <w:tc>
          <w:tcPr>
            <w:tcW w:w="1003"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rFonts w:cs="宋体" w:asciiTheme="minorEastAsia" w:hAnsiTheme="minorEastAsia"/>
                <w:kern w:val="0"/>
                <w:sz w:val="24"/>
                <w:szCs w:val="24"/>
              </w:rPr>
            </w:pPr>
          </w:p>
        </w:tc>
        <w:tc>
          <w:tcPr>
            <w:tcW w:w="1483"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二等奖</w:t>
            </w:r>
          </w:p>
        </w:tc>
        <w:tc>
          <w:tcPr>
            <w:tcW w:w="6079"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前八名依次加16、14、12、10、8、6、4、2分</w:t>
            </w:r>
          </w:p>
        </w:tc>
      </w:tr>
      <w:tr>
        <w:tblPrEx>
          <w:tblLayout w:type="fixed"/>
        </w:tblPrEx>
        <w:trPr>
          <w:jc w:val="center"/>
        </w:trPr>
        <w:tc>
          <w:tcPr>
            <w:tcW w:w="1003"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rFonts w:cs="宋体" w:asciiTheme="minorEastAsia" w:hAnsiTheme="minorEastAsia"/>
                <w:kern w:val="0"/>
                <w:sz w:val="24"/>
                <w:szCs w:val="24"/>
              </w:rPr>
            </w:pPr>
          </w:p>
        </w:tc>
        <w:tc>
          <w:tcPr>
            <w:tcW w:w="1483"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三等奖</w:t>
            </w:r>
          </w:p>
        </w:tc>
        <w:tc>
          <w:tcPr>
            <w:tcW w:w="6079"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前六名依次加12、10、8、6、4、2分</w:t>
            </w:r>
          </w:p>
        </w:tc>
      </w:tr>
      <w:tr>
        <w:tblPrEx>
          <w:tblLayout w:type="fixed"/>
          <w:tblCellMar>
            <w:top w:w="0" w:type="dxa"/>
            <w:left w:w="0" w:type="dxa"/>
            <w:bottom w:w="0" w:type="dxa"/>
            <w:right w:w="0" w:type="dxa"/>
          </w:tblCellMar>
        </w:tblPrEx>
        <w:trPr>
          <w:jc w:val="center"/>
        </w:trPr>
        <w:tc>
          <w:tcPr>
            <w:tcW w:w="1003" w:type="dxa"/>
            <w:vMerge w:val="restart"/>
            <w:tcBorders>
              <w:top w:val="nil"/>
              <w:left w:val="single" w:color="000000" w:sz="4" w:space="0"/>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省部级</w:t>
            </w:r>
          </w:p>
        </w:tc>
        <w:tc>
          <w:tcPr>
            <w:tcW w:w="1483"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一等奖</w:t>
            </w:r>
          </w:p>
        </w:tc>
        <w:tc>
          <w:tcPr>
            <w:tcW w:w="6079"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前八名依次加16、14、12、10、8、6、4、2分</w:t>
            </w:r>
          </w:p>
        </w:tc>
      </w:tr>
      <w:tr>
        <w:tblPrEx>
          <w:tblLayout w:type="fixed"/>
        </w:tblPrEx>
        <w:trPr>
          <w:jc w:val="center"/>
        </w:trPr>
        <w:tc>
          <w:tcPr>
            <w:tcW w:w="1003" w:type="dxa"/>
            <w:vMerge w:val="continue"/>
            <w:tcBorders>
              <w:top w:val="nil"/>
              <w:left w:val="single" w:color="000000" w:sz="4" w:space="0"/>
              <w:bottom w:val="single" w:color="000000" w:sz="4" w:space="0"/>
              <w:right w:val="single" w:color="000000" w:sz="4" w:space="0"/>
            </w:tcBorders>
            <w:vAlign w:val="center"/>
          </w:tcPr>
          <w:p>
            <w:pPr>
              <w:widowControl/>
              <w:spacing w:line="360" w:lineRule="auto"/>
              <w:jc w:val="left"/>
              <w:rPr>
                <w:rFonts w:cs="宋体" w:asciiTheme="minorEastAsia" w:hAnsiTheme="minorEastAsia"/>
                <w:kern w:val="0"/>
                <w:sz w:val="24"/>
                <w:szCs w:val="24"/>
              </w:rPr>
            </w:pPr>
          </w:p>
        </w:tc>
        <w:tc>
          <w:tcPr>
            <w:tcW w:w="1483"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二等奖</w:t>
            </w:r>
          </w:p>
        </w:tc>
        <w:tc>
          <w:tcPr>
            <w:tcW w:w="6079" w:type="dxa"/>
            <w:tcBorders>
              <w:top w:val="single" w:color="000000" w:sz="4" w:space="0"/>
              <w:left w:val="nil"/>
              <w:bottom w:val="single" w:color="000000" w:sz="4" w:space="0"/>
              <w:right w:val="single" w:color="000000" w:sz="4" w:space="0"/>
            </w:tcBorders>
            <w:vAlign w:val="center"/>
          </w:tcPr>
          <w:p>
            <w:pPr>
              <w:widowControl/>
              <w:spacing w:before="100" w:after="100" w:line="360" w:lineRule="auto"/>
              <w:jc w:val="center"/>
              <w:rPr>
                <w:rFonts w:cs="宋体" w:asciiTheme="minorEastAsia" w:hAnsiTheme="minorEastAsia"/>
                <w:kern w:val="0"/>
                <w:sz w:val="24"/>
                <w:szCs w:val="24"/>
              </w:rPr>
            </w:pPr>
            <w:r>
              <w:rPr>
                <w:rFonts w:hint="eastAsia" w:cs="宋体" w:asciiTheme="minorEastAsia" w:hAnsiTheme="minorEastAsia"/>
                <w:kern w:val="0"/>
                <w:sz w:val="24"/>
                <w:szCs w:val="24"/>
              </w:rPr>
              <w:t>前六名依次加12、10、8、6、4、2分</w:t>
            </w:r>
          </w:p>
        </w:tc>
      </w:tr>
    </w:tbl>
    <w:p>
      <w:pPr>
        <w:widowControl/>
        <w:spacing w:line="360" w:lineRule="auto"/>
        <w:ind w:firstLine="420"/>
        <w:jc w:val="left"/>
        <w:rPr>
          <w:rFonts w:cs="宋体" w:asciiTheme="minorEastAsia" w:hAnsiTheme="minorEastAsia"/>
          <w:kern w:val="0"/>
          <w:sz w:val="24"/>
          <w:szCs w:val="24"/>
        </w:rPr>
      </w:pPr>
      <w:r>
        <w:rPr>
          <w:rFonts w:cs="宋体" w:asciiTheme="minorEastAsia" w:hAnsiTheme="minorEastAsia"/>
          <w:kern w:val="0"/>
          <w:sz w:val="24"/>
          <w:szCs w:val="24"/>
        </w:rPr>
        <w:t> </w:t>
      </w:r>
    </w:p>
    <w:p>
      <w:pPr>
        <w:widowControl/>
        <w:spacing w:line="360" w:lineRule="auto"/>
        <w:ind w:firstLine="420"/>
        <w:jc w:val="left"/>
        <w:rPr>
          <w:rFonts w:cs="宋体" w:asciiTheme="minorEastAsia" w:hAnsiTheme="minorEastAsia"/>
          <w:kern w:val="0"/>
          <w:sz w:val="24"/>
          <w:szCs w:val="24"/>
        </w:rPr>
      </w:pPr>
      <w:r>
        <w:rPr>
          <w:rFonts w:hint="eastAsia" w:cs="宋体" w:asciiTheme="minorEastAsia" w:hAnsiTheme="minorEastAsia"/>
          <w:kern w:val="0"/>
          <w:sz w:val="24"/>
          <w:szCs w:val="24"/>
        </w:rPr>
        <w:t>（四）专业学位硕士研究生、新入学的硕士研究生、博士研究生依据学术型研究生的评分标准，参考前一阶段科研能力综合评定。</w:t>
      </w:r>
    </w:p>
    <w:p>
      <w:pPr>
        <w:widowControl/>
        <w:spacing w:line="360" w:lineRule="auto"/>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六、申诉的期限和受理程序</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研究生奖学金经研究所评定工作组评定完成后，结果报学院研究生奖学金评审工作领导小组审核，由学院统一公示三天。公示期满无异议后将结果上报。过期不再受理。</w:t>
      </w:r>
    </w:p>
    <w:p>
      <w:pPr>
        <w:widowControl/>
        <w:spacing w:line="360" w:lineRule="auto"/>
        <w:ind w:firstLine="36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公示期内若有研究生提出异议，由学院研究生奖学金评审工作领导小组会同研究所评定工作组复议，复议结果必须在三日内得出，并以书面形式通知申诉人。申诉人有权继续向上一级申诉。</w:t>
      </w:r>
    </w:p>
    <w:p>
      <w:pPr>
        <w:widowControl/>
        <w:spacing w:line="360" w:lineRule="auto"/>
        <w:jc w:val="left"/>
        <w:rPr>
          <w:rFonts w:cs="宋体" w:asciiTheme="minorEastAsia" w:hAnsiTheme="minorEastAsia"/>
          <w:b/>
          <w:bCs/>
          <w:kern w:val="0"/>
          <w:sz w:val="24"/>
          <w:szCs w:val="24"/>
        </w:rPr>
      </w:pPr>
      <w:r>
        <w:rPr>
          <w:rFonts w:hint="eastAsia" w:cs="宋体" w:asciiTheme="minorEastAsia" w:hAnsiTheme="minorEastAsia"/>
          <w:b/>
          <w:bCs/>
          <w:kern w:val="0"/>
          <w:sz w:val="24"/>
          <w:szCs w:val="24"/>
        </w:rPr>
        <w:t>七、附则</w:t>
      </w:r>
    </w:p>
    <w:p>
      <w:pPr>
        <w:widowControl/>
        <w:spacing w:line="360" w:lineRule="auto"/>
        <w:ind w:firstLine="240"/>
        <w:jc w:val="left"/>
        <w:rPr>
          <w:rFonts w:cs="宋体" w:asciiTheme="minorEastAsia" w:hAnsiTheme="minorEastAsia"/>
          <w:kern w:val="0"/>
          <w:sz w:val="24"/>
          <w:szCs w:val="24"/>
        </w:rPr>
      </w:pPr>
      <w:r>
        <w:rPr>
          <w:rFonts w:hint="eastAsia" w:cs="宋体" w:asciiTheme="minorEastAsia" w:hAnsiTheme="minorEastAsia"/>
          <w:kern w:val="0"/>
          <w:sz w:val="24"/>
          <w:szCs w:val="24"/>
        </w:rPr>
        <w:t>（一）本细则如有未尽事宜，由学院研究生奖学金评审工作领导小组另行议定。</w:t>
      </w:r>
    </w:p>
    <w:p>
      <w:pPr>
        <w:widowControl/>
        <w:spacing w:line="360" w:lineRule="auto"/>
        <w:ind w:firstLine="240"/>
        <w:jc w:val="left"/>
        <w:rPr>
          <w:rFonts w:cs="宋体" w:asciiTheme="minorEastAsia" w:hAnsiTheme="minorEastAsia"/>
          <w:kern w:val="0"/>
          <w:sz w:val="24"/>
          <w:szCs w:val="24"/>
        </w:rPr>
      </w:pPr>
      <w:r>
        <w:rPr>
          <w:rFonts w:hint="eastAsia" w:cs="宋体" w:asciiTheme="minorEastAsia" w:hAnsiTheme="minorEastAsia"/>
          <w:kern w:val="0"/>
          <w:sz w:val="24"/>
          <w:szCs w:val="24"/>
        </w:rPr>
        <w:t>（二）本办法自公布之日起开始实行。</w:t>
      </w:r>
    </w:p>
    <w:p>
      <w:pPr>
        <w:widowControl/>
        <w:spacing w:line="360" w:lineRule="auto"/>
        <w:ind w:firstLine="240"/>
        <w:jc w:val="left"/>
        <w:rPr>
          <w:rFonts w:cs="宋体" w:asciiTheme="minorEastAsia" w:hAnsiTheme="minorEastAsia"/>
          <w:kern w:val="0"/>
          <w:sz w:val="24"/>
          <w:szCs w:val="24"/>
        </w:rPr>
      </w:pPr>
    </w:p>
    <w:p>
      <w:pPr>
        <w:widowControl/>
        <w:spacing w:line="360" w:lineRule="auto"/>
        <w:ind w:firstLine="240"/>
        <w:jc w:val="left"/>
        <w:rPr>
          <w:rFonts w:cs="宋体" w:asciiTheme="minorEastAsia" w:hAnsiTheme="minorEastAsia"/>
          <w:kern w:val="0"/>
          <w:sz w:val="24"/>
          <w:szCs w:val="24"/>
        </w:rPr>
      </w:pPr>
    </w:p>
    <w:p>
      <w:pPr>
        <w:widowControl/>
        <w:spacing w:line="360" w:lineRule="auto"/>
        <w:ind w:firstLine="24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植物保护学院</w:t>
      </w:r>
    </w:p>
    <w:p>
      <w:pPr>
        <w:widowControl/>
        <w:spacing w:line="360" w:lineRule="auto"/>
        <w:ind w:firstLine="24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                                                  201</w:t>
      </w:r>
      <w:r>
        <w:rPr>
          <w:rFonts w:hint="eastAsia" w:cs="宋体" w:asciiTheme="minorEastAsia" w:hAnsiTheme="minorEastAsia"/>
          <w:kern w:val="0"/>
          <w:sz w:val="24"/>
          <w:szCs w:val="24"/>
          <w:lang w:val="en-US" w:eastAsia="zh-CN"/>
        </w:rPr>
        <w:t>8</w:t>
      </w:r>
      <w:r>
        <w:rPr>
          <w:rFonts w:hint="eastAsia" w:cs="宋体" w:asciiTheme="minorEastAsia" w:hAnsiTheme="minorEastAsia"/>
          <w:kern w:val="0"/>
          <w:sz w:val="24"/>
          <w:szCs w:val="24"/>
        </w:rPr>
        <w:t>年9月2</w:t>
      </w:r>
      <w:r>
        <w:rPr>
          <w:rFonts w:hint="eastAsia" w:cs="宋体" w:asciiTheme="minorEastAsia" w:hAnsiTheme="minorEastAsia"/>
          <w:kern w:val="0"/>
          <w:sz w:val="24"/>
          <w:szCs w:val="24"/>
          <w:lang w:val="en-US" w:eastAsia="zh-CN"/>
        </w:rPr>
        <w:t>1</w:t>
      </w:r>
      <w:r>
        <w:rPr>
          <w:rFonts w:hint="eastAsia" w:cs="宋体" w:asciiTheme="minorEastAsia" w:hAnsiTheme="minorEastAsia"/>
          <w:kern w:val="0"/>
          <w:sz w:val="24"/>
          <w:szCs w:val="24"/>
        </w:rPr>
        <w:t>日</w:t>
      </w:r>
    </w:p>
    <w:p>
      <w:pPr>
        <w:spacing w:line="36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BC"/>
    <w:rsid w:val="000320E8"/>
    <w:rsid w:val="0006706F"/>
    <w:rsid w:val="000A6D0E"/>
    <w:rsid w:val="000A72D8"/>
    <w:rsid w:val="000B3A56"/>
    <w:rsid w:val="000C43CA"/>
    <w:rsid w:val="000C5B06"/>
    <w:rsid w:val="000F1D29"/>
    <w:rsid w:val="00140033"/>
    <w:rsid w:val="00164AAC"/>
    <w:rsid w:val="001A0CEC"/>
    <w:rsid w:val="001B467D"/>
    <w:rsid w:val="001B5DAC"/>
    <w:rsid w:val="001D3D8C"/>
    <w:rsid w:val="0020065E"/>
    <w:rsid w:val="002149D5"/>
    <w:rsid w:val="0023018A"/>
    <w:rsid w:val="002565F1"/>
    <w:rsid w:val="003076F6"/>
    <w:rsid w:val="003728AA"/>
    <w:rsid w:val="00382828"/>
    <w:rsid w:val="003F1A66"/>
    <w:rsid w:val="00442ED8"/>
    <w:rsid w:val="00487AC9"/>
    <w:rsid w:val="004B3F1C"/>
    <w:rsid w:val="004C37A8"/>
    <w:rsid w:val="00505EC3"/>
    <w:rsid w:val="0054551E"/>
    <w:rsid w:val="00577BCC"/>
    <w:rsid w:val="005E47B3"/>
    <w:rsid w:val="00605FFD"/>
    <w:rsid w:val="00655BEA"/>
    <w:rsid w:val="00656681"/>
    <w:rsid w:val="00661C0A"/>
    <w:rsid w:val="00671B58"/>
    <w:rsid w:val="00673920"/>
    <w:rsid w:val="006842C0"/>
    <w:rsid w:val="006E5A2E"/>
    <w:rsid w:val="00721866"/>
    <w:rsid w:val="007470B7"/>
    <w:rsid w:val="0075287F"/>
    <w:rsid w:val="0075379A"/>
    <w:rsid w:val="00825AD6"/>
    <w:rsid w:val="008D3E1C"/>
    <w:rsid w:val="00920019"/>
    <w:rsid w:val="00944924"/>
    <w:rsid w:val="009856FA"/>
    <w:rsid w:val="009958DD"/>
    <w:rsid w:val="009A6752"/>
    <w:rsid w:val="009B6342"/>
    <w:rsid w:val="009D7261"/>
    <w:rsid w:val="009E4653"/>
    <w:rsid w:val="00AC314D"/>
    <w:rsid w:val="00B86830"/>
    <w:rsid w:val="00BB27A4"/>
    <w:rsid w:val="00BE2EFC"/>
    <w:rsid w:val="00C01387"/>
    <w:rsid w:val="00C04BC7"/>
    <w:rsid w:val="00C6284A"/>
    <w:rsid w:val="00C72250"/>
    <w:rsid w:val="00C83B6C"/>
    <w:rsid w:val="00CD3B10"/>
    <w:rsid w:val="00D5020A"/>
    <w:rsid w:val="00D5566F"/>
    <w:rsid w:val="00DA2F0F"/>
    <w:rsid w:val="00DC4273"/>
    <w:rsid w:val="00DD05F7"/>
    <w:rsid w:val="00DF1CD3"/>
    <w:rsid w:val="00E161BE"/>
    <w:rsid w:val="00E568A8"/>
    <w:rsid w:val="00E672BC"/>
    <w:rsid w:val="00E86F59"/>
    <w:rsid w:val="00F026BF"/>
    <w:rsid w:val="00F67877"/>
    <w:rsid w:val="00FD6377"/>
    <w:rsid w:val="093261C6"/>
    <w:rsid w:val="29D54F71"/>
    <w:rsid w:val="49964CE9"/>
    <w:rsid w:val="54B56FFB"/>
    <w:rsid w:val="7D66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5"/>
    <w:link w:val="2"/>
    <w:semiHidden/>
    <w:uiPriority w:val="99"/>
    <w:rPr>
      <w:sz w:val="18"/>
      <w:szCs w:val="18"/>
    </w:rPr>
  </w:style>
  <w:style w:type="character" w:customStyle="1" w:styleId="8">
    <w:name w:val="页眉 Char"/>
    <w:basedOn w:val="5"/>
    <w:link w:val="4"/>
    <w:uiPriority w:val="99"/>
    <w:rPr>
      <w:sz w:val="18"/>
      <w:szCs w:val="18"/>
    </w:rPr>
  </w:style>
  <w:style w:type="character" w:customStyle="1" w:styleId="9">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403</Words>
  <Characters>2300</Characters>
  <Lines>19</Lines>
  <Paragraphs>5</Paragraphs>
  <TotalTime>118</TotalTime>
  <ScaleCrop>false</ScaleCrop>
  <LinksUpToDate>false</LinksUpToDate>
  <CharactersWithSpaces>2698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2015-10-08T00:57:00Z</dcterms:created>
  <dc:creator>lenovo</dc:creator>
  <cp:lastModifiedBy>Administrator</cp:lastModifiedBy>
  <cp:lastPrinted>2018-09-20T01:00:25Z</cp:lastPrinted>
  <dcterms:modified xsi:type="dcterms:W3CDTF">2018-09-20T01:10:47Z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